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77" w:rsidRDefault="00991E77" w:rsidP="00991E77">
      <w:pPr>
        <w:rPr>
          <w:rFonts w:ascii="微软雅黑" w:eastAsia="微软雅黑" w:hAnsi="微软雅黑"/>
          <w:b/>
          <w:sz w:val="24"/>
          <w:szCs w:val="24"/>
        </w:rPr>
      </w:pPr>
      <w:r>
        <w:rPr>
          <w:rFonts w:ascii="微软雅黑" w:eastAsia="微软雅黑" w:hAnsi="微软雅黑" w:hint="eastAsia"/>
          <w:b/>
          <w:sz w:val="24"/>
          <w:szCs w:val="24"/>
        </w:rPr>
        <w:t>以</w:t>
      </w:r>
      <w:r>
        <w:rPr>
          <w:rFonts w:ascii="微软雅黑" w:eastAsia="微软雅黑" w:hAnsi="微软雅黑"/>
          <w:b/>
          <w:sz w:val="24"/>
          <w:szCs w:val="24"/>
        </w:rPr>
        <w:t>下</w:t>
      </w:r>
      <w:r>
        <w:rPr>
          <w:rFonts w:ascii="微软雅黑" w:eastAsia="微软雅黑" w:hAnsi="微软雅黑" w:hint="eastAsia"/>
          <w:b/>
          <w:sz w:val="24"/>
          <w:szCs w:val="24"/>
        </w:rPr>
        <w:t>内容由</w:t>
      </w:r>
      <w:r>
        <w:rPr>
          <w:rFonts w:ascii="微软雅黑" w:eastAsia="微软雅黑" w:hAnsi="微软雅黑"/>
          <w:b/>
          <w:sz w:val="24"/>
          <w:szCs w:val="24"/>
        </w:rPr>
        <w:t>雅培公司提供，</w:t>
      </w:r>
      <w:r w:rsidR="00C77C31" w:rsidRPr="00C77C31">
        <w:rPr>
          <w:rFonts w:ascii="微软雅黑" w:eastAsia="微软雅黑" w:hAnsi="微软雅黑" w:hint="eastAsia"/>
          <w:b/>
          <w:sz w:val="24"/>
          <w:szCs w:val="24"/>
        </w:rPr>
        <w:t>如与你了解的信息有不同之处，请自行判断，特此说明</w:t>
      </w:r>
      <w:r w:rsidR="00C77C31">
        <w:rPr>
          <w:rFonts w:ascii="微软雅黑" w:eastAsia="微软雅黑" w:hAnsi="微软雅黑" w:hint="eastAsia"/>
          <w:b/>
          <w:sz w:val="24"/>
          <w:szCs w:val="24"/>
        </w:rPr>
        <w:t>。</w:t>
      </w:r>
    </w:p>
    <w:p w:rsidR="001B74FF" w:rsidRDefault="002A26BC" w:rsidP="00AD37D2">
      <w:pPr>
        <w:jc w:val="center"/>
        <w:rPr>
          <w:rFonts w:ascii="微软雅黑" w:eastAsia="微软雅黑" w:hAnsi="微软雅黑"/>
          <w:b/>
          <w:sz w:val="24"/>
          <w:szCs w:val="24"/>
        </w:rPr>
      </w:pPr>
      <w:r>
        <w:rPr>
          <w:rFonts w:ascii="微软雅黑" w:eastAsia="微软雅黑" w:hAnsi="微软雅黑" w:hint="eastAsia"/>
          <w:b/>
          <w:sz w:val="24"/>
          <w:szCs w:val="24"/>
        </w:rPr>
        <w:t>通</w:t>
      </w:r>
      <w:r>
        <w:rPr>
          <w:rFonts w:ascii="微软雅黑" w:eastAsia="微软雅黑" w:hAnsi="微软雅黑"/>
          <w:b/>
          <w:sz w:val="24"/>
          <w:szCs w:val="24"/>
        </w:rPr>
        <w:t>过改变</w:t>
      </w:r>
      <w:r>
        <w:rPr>
          <w:rFonts w:ascii="微软雅黑" w:eastAsia="微软雅黑" w:hAnsi="微软雅黑" w:hint="eastAsia"/>
          <w:b/>
          <w:sz w:val="24"/>
          <w:szCs w:val="24"/>
        </w:rPr>
        <w:t>生命</w:t>
      </w:r>
      <w:r>
        <w:rPr>
          <w:rFonts w:ascii="微软雅黑" w:eastAsia="微软雅黑" w:hAnsi="微软雅黑"/>
          <w:b/>
          <w:sz w:val="24"/>
          <w:szCs w:val="24"/>
        </w:rPr>
        <w:t>的</w:t>
      </w:r>
      <w:r w:rsidR="0076477C" w:rsidRPr="00AD37D2">
        <w:rPr>
          <w:rFonts w:ascii="微软雅黑" w:eastAsia="微软雅黑" w:hAnsi="微软雅黑" w:hint="eastAsia"/>
          <w:b/>
          <w:sz w:val="24"/>
          <w:szCs w:val="24"/>
        </w:rPr>
        <w:t>前沿科技，</w:t>
      </w:r>
      <w:r w:rsidR="00AD37D2" w:rsidRPr="00AD37D2">
        <w:rPr>
          <w:rFonts w:ascii="微软雅黑" w:eastAsia="微软雅黑" w:hAnsi="微软雅黑" w:hint="eastAsia"/>
          <w:b/>
          <w:sz w:val="24"/>
          <w:szCs w:val="24"/>
        </w:rPr>
        <w:t>创造</w:t>
      </w:r>
      <w:r>
        <w:rPr>
          <w:rFonts w:ascii="微软雅黑" w:eastAsia="微软雅黑" w:hAnsi="微软雅黑" w:hint="eastAsia"/>
          <w:b/>
          <w:sz w:val="24"/>
          <w:szCs w:val="24"/>
        </w:rPr>
        <w:t>医疗</w:t>
      </w:r>
      <w:r w:rsidR="00AD37D2" w:rsidRPr="00AD37D2">
        <w:rPr>
          <w:rFonts w:ascii="微软雅黑" w:eastAsia="微软雅黑" w:hAnsi="微软雅黑" w:hint="eastAsia"/>
          <w:b/>
          <w:sz w:val="24"/>
          <w:szCs w:val="24"/>
        </w:rPr>
        <w:t>健康</w:t>
      </w:r>
      <w:r w:rsidR="007B422F" w:rsidRPr="00AD37D2">
        <w:rPr>
          <w:rFonts w:ascii="微软雅黑" w:eastAsia="微软雅黑" w:hAnsi="微软雅黑" w:hint="eastAsia"/>
          <w:b/>
          <w:sz w:val="24"/>
          <w:szCs w:val="24"/>
        </w:rPr>
        <w:t>未来</w:t>
      </w:r>
    </w:p>
    <w:p w:rsidR="00991E77" w:rsidRPr="00991E77" w:rsidRDefault="00991E77" w:rsidP="00991E77">
      <w:pPr>
        <w:ind w:firstLineChars="200" w:firstLine="420"/>
        <w:rPr>
          <w:rFonts w:ascii="宋体" w:eastAsia="宋体" w:hAnsi="宋体"/>
          <w:sz w:val="21"/>
          <w:szCs w:val="21"/>
        </w:rPr>
      </w:pPr>
      <w:r w:rsidRPr="00991E77">
        <w:rPr>
          <w:rFonts w:ascii="宋体" w:eastAsia="宋体" w:hAnsi="宋体" w:hint="eastAsia"/>
          <w:sz w:val="21"/>
          <w:szCs w:val="21"/>
        </w:rPr>
        <w:t>雅培于</w:t>
      </w:r>
      <w:r w:rsidRPr="00991E77">
        <w:rPr>
          <w:rFonts w:ascii="宋体" w:eastAsia="宋体" w:hAnsi="宋体"/>
          <w:sz w:val="21"/>
          <w:szCs w:val="21"/>
        </w:rPr>
        <w:t>1888年由华莱士雅培博士创建，至今已拥有130年悠久历史。</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 xml:space="preserve">    如今，雅培的产品和服务遍布160多个国家和地区。从营养品、诊断、医疗器械、到药品——涵盖生命的每个阶段。雅培不断创新探索，帮助人们管理健康，为生命创造更多可能和精彩！</w:t>
      </w:r>
    </w:p>
    <w:p w:rsidR="00991E77" w:rsidRPr="00991E77" w:rsidRDefault="00991E77" w:rsidP="00991E77">
      <w:pPr>
        <w:jc w:val="center"/>
        <w:rPr>
          <w:rFonts w:ascii="宋体" w:eastAsia="宋体" w:hAnsi="宋体"/>
          <w:sz w:val="21"/>
          <w:szCs w:val="21"/>
        </w:rPr>
      </w:pPr>
      <w:r w:rsidRPr="00991E77">
        <w:rPr>
          <w:rFonts w:ascii="宋体" w:eastAsia="宋体" w:hAnsi="宋体" w:hint="eastAsia"/>
          <w:sz w:val="21"/>
          <w:szCs w:val="21"/>
        </w:rPr>
        <w:t>颠覆性的革新，助力健康生活</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创新，在雅培是一种企业文化，雅培及在雅培工作的每一位专家，坚持创新挑战医疗重大难题，以改变生命健康的创新技术推动健康领域的革新，支持人们活得更长久、更美好，助力医疗质量和效率。在过往的百年发展历史中，雅培将改变生命的前沿科技带给全世界千百万人，积极影响和改善人们的健康。雅培研发了世界上第一个艾滋病毒检测试剂以及第一个获批用于修复受损二尖瓣的微创医疗器械。</w:t>
      </w:r>
      <w:r w:rsidRPr="00991E77">
        <w:rPr>
          <w:rFonts w:ascii="宋体" w:eastAsia="宋体" w:hAnsi="宋体"/>
          <w:sz w:val="21"/>
          <w:szCs w:val="21"/>
        </w:rPr>
        <w:t>2014年，在中国上市了雅培辅理善瞬感葡萄糖监测系统，帮助糖尿病患者即时查询并追踪葡萄糖水平，免受指尖釆血之苦。在心内领域雅培植入式血流动力学监测系统压力传</w:t>
      </w:r>
      <w:r w:rsidRPr="00991E77">
        <w:rPr>
          <w:rFonts w:ascii="宋体" w:eastAsia="宋体" w:hAnsi="宋体" w:hint="eastAsia"/>
          <w:sz w:val="21"/>
          <w:szCs w:val="21"/>
        </w:rPr>
        <w:t>感器</w:t>
      </w:r>
      <w:r w:rsidRPr="00991E77">
        <w:rPr>
          <w:rFonts w:ascii="宋体" w:eastAsia="宋体" w:hAnsi="宋体"/>
          <w:sz w:val="21"/>
          <w:szCs w:val="21"/>
        </w:rPr>
        <w:t>CardioMEMS，通过向医生提供心衰患者的早期预警信号，有效降低住院率。雅培的可植入式心脏监测仪Confirm Rx能够实时监测心律，帮助医生更准确地发现和诊断心律失常，并做出更好的治疗决定。在诊断领域雅培Alinity诊断系统家族正在重塑核心实验室的运作方式。帮助提高实验室的速度、效率和准确性。雅培携同行业内的专家及机构组织，倡导创新精神，在多个领域支持行业创新，以满足各地亟需的医疗健康需求。</w:t>
      </w:r>
    </w:p>
    <w:p w:rsidR="00991E77" w:rsidRPr="00991E77" w:rsidRDefault="00991E77" w:rsidP="00991E77">
      <w:pPr>
        <w:jc w:val="center"/>
        <w:rPr>
          <w:rFonts w:ascii="宋体" w:eastAsia="宋体" w:hAnsi="宋体"/>
          <w:sz w:val="21"/>
          <w:szCs w:val="21"/>
        </w:rPr>
      </w:pPr>
      <w:r w:rsidRPr="00991E77">
        <w:rPr>
          <w:rFonts w:ascii="宋体" w:eastAsia="宋体" w:hAnsi="宋体" w:hint="eastAsia"/>
          <w:sz w:val="21"/>
          <w:szCs w:val="21"/>
        </w:rPr>
        <w:t>植根中国，共创健康中国</w:t>
      </w:r>
    </w:p>
    <w:p w:rsidR="00991E77" w:rsidRDefault="00991E77" w:rsidP="00991E77">
      <w:pPr>
        <w:rPr>
          <w:rFonts w:ascii="宋体" w:eastAsia="宋体" w:hAnsi="宋体"/>
          <w:sz w:val="21"/>
          <w:szCs w:val="21"/>
        </w:rPr>
      </w:pPr>
      <w:r w:rsidRPr="00991E77">
        <w:rPr>
          <w:rFonts w:ascii="宋体" w:eastAsia="宋体" w:hAnsi="宋体" w:hint="eastAsia"/>
          <w:sz w:val="21"/>
          <w:szCs w:val="21"/>
        </w:rPr>
        <w:t>雅培中国总部位于上海，在中国共有</w:t>
      </w:r>
      <w:r w:rsidRPr="00991E77">
        <w:rPr>
          <w:rFonts w:ascii="宋体" w:eastAsia="宋体" w:hAnsi="宋体"/>
          <w:sz w:val="21"/>
          <w:szCs w:val="21"/>
        </w:rPr>
        <w:t>4家工厂、3家研发中心、为更好地满足中国快速变化的健康需求，推动本土创新和健康中国，雅培在中国建立了2个培训中心和1个客户体验中心：北京高端技术中心，为医生提供实践练习以提高医生操作技能，缩短理论知识与临床实践之间的差距；上海Crossroads跨越之路•雅培学术中心，为不同地区医师提供介入治疗的培训，提升医疗治疗水平；雅培创跃中心是全球诊断行业首个一体化客户体验中心，提供培训、交流等全方位服务和即时在线支持，并展示雅培的创新型诊断解决方案和全球优异实践，树立医学诊断和检测行</w:t>
      </w:r>
      <w:r w:rsidRPr="00991E77">
        <w:rPr>
          <w:rFonts w:ascii="宋体" w:eastAsia="宋体" w:hAnsi="宋体" w:hint="eastAsia"/>
          <w:sz w:val="21"/>
          <w:szCs w:val="21"/>
        </w:rPr>
        <w:t>业的新标杆。</w:t>
      </w:r>
    </w:p>
    <w:p w:rsidR="00066354" w:rsidRPr="00271A5F" w:rsidRDefault="00066354" w:rsidP="00066354">
      <w:pPr>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Pr="00271A5F">
        <w:rPr>
          <w:rFonts w:ascii="宋体" w:eastAsia="宋体" w:hAnsi="宋体"/>
          <w:sz w:val="21"/>
          <w:szCs w:val="21"/>
        </w:rPr>
        <w:t xml:space="preserve"> </w:t>
      </w:r>
      <w:r w:rsidRPr="00271A5F">
        <w:rPr>
          <w:rFonts w:ascii="宋体" w:eastAsia="宋体" w:hAnsi="宋体" w:hint="eastAsia"/>
          <w:sz w:val="21"/>
          <w:szCs w:val="21"/>
        </w:rPr>
        <w:t>聚焦营养，推动健康发展</w:t>
      </w:r>
    </w:p>
    <w:p w:rsidR="00066354" w:rsidRPr="00271A5F" w:rsidRDefault="00066354" w:rsidP="00066354">
      <w:pPr>
        <w:rPr>
          <w:rFonts w:ascii="宋体" w:eastAsia="宋体" w:hAnsi="宋体"/>
          <w:sz w:val="21"/>
          <w:szCs w:val="21"/>
        </w:rPr>
      </w:pPr>
      <w:r w:rsidRPr="00271A5F">
        <w:rPr>
          <w:rFonts w:ascii="宋体" w:eastAsia="宋体" w:hAnsi="宋体" w:hint="eastAsia"/>
          <w:sz w:val="21"/>
          <w:szCs w:val="21"/>
        </w:rPr>
        <w:t>雅培始终致力于为生</w:t>
      </w:r>
      <w:bookmarkStart w:id="0" w:name="_GoBack"/>
      <w:bookmarkEnd w:id="0"/>
      <w:r w:rsidRPr="00271A5F">
        <w:rPr>
          <w:rFonts w:ascii="宋体" w:eastAsia="宋体" w:hAnsi="宋体" w:hint="eastAsia"/>
          <w:sz w:val="21"/>
          <w:szCs w:val="21"/>
        </w:rPr>
        <w:t>命各个阶段提供营养支持，从婴幼儿到各个年龄段的成年人。雅培医学营养，作为全球医学营养领导品牌之一，一直秉承着雅培百年的制药经验，以医学和营养学为依据，提供给消费者值得信赖的从治疗到康复的医学营养。</w:t>
      </w:r>
      <w:r w:rsidRPr="00271A5F">
        <w:rPr>
          <w:rFonts w:ascii="宋体" w:eastAsia="宋体" w:hAnsi="宋体"/>
          <w:sz w:val="21"/>
          <w:szCs w:val="21"/>
        </w:rPr>
        <w:t>40多年前，雅培为医院和疗养院患者研发出了首个无乳糖医疗营养补充剂，取名“安素”。</w:t>
      </w:r>
      <w:r w:rsidRPr="00271A5F">
        <w:rPr>
          <w:rFonts w:ascii="宋体" w:eastAsia="宋体" w:hAnsi="宋体" w:hint="eastAsia"/>
          <w:sz w:val="21"/>
          <w:szCs w:val="21"/>
        </w:rPr>
        <w:t>通过不断地研究，雅培已研发出多种营养产品，可满足糖尿病、慢性肾病和癌症患者等群体的不同营养需求，</w:t>
      </w:r>
      <w:r w:rsidRPr="00271A5F">
        <w:rPr>
          <w:rFonts w:ascii="宋体" w:eastAsia="宋体" w:hAnsi="宋体" w:hint="eastAsia"/>
          <w:sz w:val="21"/>
          <w:szCs w:val="21"/>
        </w:rPr>
        <w:lastRenderedPageBreak/>
        <w:t>雅培还将进一步研究营养在抗衰老和疾病管理中的作用。雅培对科学的重视和不懈追求将不断推动其研究和发现的进程，揭示营养对于人体的重要作用，帮助人们通过充分利用营养的成分，活得更健康、更有活力。</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无论现在还是未来，雅培始终坚持创新，不断推动预防、诊断和治疗领域的创新突破，致力于通过改变生命的前沿科技和产品，创造医疗健康的未来。为生命健康带来前沿科技，帮助人们活得健康、活出精彩</w:t>
      </w:r>
      <w:r w:rsidRPr="00991E77">
        <w:rPr>
          <w:rFonts w:ascii="宋体" w:eastAsia="宋体" w:hAnsi="宋体"/>
          <w:sz w:val="21"/>
          <w:szCs w:val="21"/>
        </w:rPr>
        <w:t>!</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请根据以上内容回答下面问题</w:t>
      </w:r>
      <w:r w:rsidRPr="00991E77">
        <w:rPr>
          <w:rFonts w:ascii="宋体" w:eastAsia="宋体" w:hAnsi="宋体"/>
          <w:sz w:val="21"/>
          <w:szCs w:val="21"/>
        </w:rPr>
        <w:t xml:space="preserve"> （包括单选和多选）</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w:t>
      </w:r>
      <w:r w:rsidRPr="00991E77">
        <w:rPr>
          <w:rFonts w:ascii="宋体" w:eastAsia="宋体" w:hAnsi="宋体"/>
          <w:sz w:val="21"/>
          <w:szCs w:val="21"/>
        </w:rPr>
        <w:tab/>
        <w:t>你知道雅培是一家有多少年历史的公司</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100年</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130年</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200年</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w:t>
      </w:r>
      <w:r w:rsidRPr="00991E77">
        <w:rPr>
          <w:rFonts w:ascii="宋体" w:eastAsia="宋体" w:hAnsi="宋体"/>
          <w:sz w:val="21"/>
          <w:szCs w:val="21"/>
        </w:rPr>
        <w:tab/>
        <w:t>雅培有哪些领域的产品</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营养品</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药品</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心血管产品</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血糖监测</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健康诊断</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神经调控</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w:t>
      </w:r>
      <w:r w:rsidRPr="00991E77">
        <w:rPr>
          <w:rFonts w:ascii="宋体" w:eastAsia="宋体" w:hAnsi="宋体"/>
          <w:sz w:val="21"/>
          <w:szCs w:val="21"/>
        </w:rPr>
        <w:tab/>
        <w:t>为不同地区医师提供介入治疗的培训，提升医疗治疗水平的Crossroads跨越之路•雅培学术中心位于哪个城市？</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北京</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上海</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广州</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o</w:t>
      </w:r>
      <w:r w:rsidRPr="00991E77">
        <w:rPr>
          <w:rFonts w:ascii="宋体" w:eastAsia="宋体" w:hAnsi="宋体"/>
          <w:sz w:val="21"/>
          <w:szCs w:val="21"/>
        </w:rPr>
        <w:tab/>
        <w:t>深圳</w:t>
      </w:r>
    </w:p>
    <w:p w:rsidR="00991E77" w:rsidRPr="00991E77" w:rsidRDefault="00991E77" w:rsidP="00991E77">
      <w:pPr>
        <w:jc w:val="center"/>
        <w:rPr>
          <w:rFonts w:ascii="宋体" w:eastAsia="宋体" w:hAnsi="宋体"/>
          <w:sz w:val="21"/>
          <w:szCs w:val="21"/>
        </w:rPr>
      </w:pPr>
      <w:r w:rsidRPr="00991E77">
        <w:rPr>
          <w:rFonts w:ascii="宋体" w:eastAsia="宋体" w:hAnsi="宋体" w:hint="eastAsia"/>
          <w:sz w:val="21"/>
          <w:szCs w:val="21"/>
        </w:rPr>
        <w:t>营养对于临床和健康的重要性</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资料参考</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营养</w:t>
      </w:r>
      <w:r w:rsidRPr="00991E77">
        <w:rPr>
          <w:rFonts w:ascii="宋体" w:eastAsia="宋体" w:hAnsi="宋体"/>
          <w:sz w:val="21"/>
          <w:szCs w:val="21"/>
        </w:rPr>
        <w:t xml:space="preserve"> 生命的最高礼赞</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作者：著名肿瘤专家石汉平</w:t>
      </w:r>
      <w:r w:rsidRPr="00991E77">
        <w:rPr>
          <w:rFonts w:ascii="宋体" w:eastAsia="宋体" w:hAnsi="宋体"/>
          <w:sz w:val="21"/>
          <w:szCs w:val="21"/>
        </w:rPr>
        <w:t xml:space="preserve"> 教授  （首都医科大学附属北京世纪坛医院胃肠外科主任，首都医科大学肿瘤系系主任，中华医学会肠外肠内营养学分会主任委员）</w:t>
      </w:r>
    </w:p>
    <w:p w:rsidR="00991E77" w:rsidRPr="00991E77" w:rsidRDefault="00991E77" w:rsidP="00991E77">
      <w:pPr>
        <w:rPr>
          <w:rFonts w:ascii="宋体" w:eastAsia="宋体" w:hAnsi="宋体"/>
          <w:sz w:val="21"/>
          <w:szCs w:val="21"/>
        </w:rPr>
      </w:pP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lastRenderedPageBreak/>
        <w:t>营养对所有的生物来说是无可比拟的，但在现实生活中，就是有人对它轻描淡写，甚至反裘负刍。把营养制剂当成辅助药物，把素食当时尚，把偏食当爱好，把保健品当饭吃，把饮料当水喝，把打针吃药当成治疗疾病的首选，这些都是典型的是非混淆，是人类健康认知的最大黑斑。迫切需要正本清源、拨乱反正。纠正营养辅助的错误观点，还营养为一线治疗的应有地位；纠正对饮食营养与医学营养的错误认识，还饮食营养的优先地位；纠正肠内营养与肠外营养的错误认识，还肠内营养的优先地位；纠正营养教育与人工营养的错误认识，还营养教育的优先地位；纠正脂肪有害的错误认识，还平衡膳食的正确地位；纠正偏饮偏食的错误认识，还食物多样性的正确地位；纠正单品使用的错误认识，还营养全合一的正确地位。纠正一切对于营养的错误认知，还营养的本来面目。</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还营养为一线治疗，临床数据告诉你为什么！</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世界卫生组织报告：营养不良过去是，现在是，今后仍将是整个人类健康的最大威胁，是全世界范围内的第一死亡原因。营养不良作为一个独立诊断或疾病，其发病率、临床后果、社会经济影响远远大于人类的任何一种疾病，包括恶性肿瘤、心脑血管疾病等。由于营养不良起病隐匿、进展缓慢、表现温和、形式复杂，常常被人们忽视。本文以数字的方式，简述营养不良的发病及其危害、营养治疗的重要作用，呼吁大家重视营养不良。</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10%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世界粮农组织报告，2007年全世界有9.23亿人营养不足，比1990年的8.42亿人增加8.1千万，增加率高达10.9%。美国慈善总会官方网站2015年报告：美国有4880万人（包括1620万儿童）营养不足，占当年美国总人口的14%。英国一项研究显示：英国每年营养不足花费高达73亿英镑，约占全国总医疗费用的10%左右。美国、英国是世界上最发达的国家，营养不良尚且如此，其他国家、尤其是发展中国家，营养不良的状况可想而知。柴培培等报告，我国2012 年老年人营养不良的经济负担达到841.4亿元，占老年人治疗</w:t>
      </w:r>
      <w:r w:rsidRPr="00991E77">
        <w:rPr>
          <w:rFonts w:ascii="宋体" w:eastAsia="宋体" w:hAnsi="宋体" w:hint="eastAsia"/>
          <w:sz w:val="21"/>
          <w:szCs w:val="21"/>
        </w:rPr>
        <w:t>费用的</w:t>
      </w:r>
      <w:r w:rsidRPr="00991E77">
        <w:rPr>
          <w:rFonts w:ascii="宋体" w:eastAsia="宋体" w:hAnsi="宋体"/>
          <w:sz w:val="21"/>
          <w:szCs w:val="21"/>
        </w:rPr>
        <w:t>10.6%。</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20%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Freijer K等报告，2009年荷兰疾病相关性营养不良社区老年人，口服营养补充（ONS）者的全部医疗花费为2.63亿欧元，没有ONS者的全部医疗花费为2.76亿欧元，扣除购买营养剂费用后，ONS者仍然少花医疗费0.12亿欧元，节约18.9%。Philipson TJ等2013年报告了美国116万住院患者分析数据，ONS 缩短了平均住院时间 2.3 天，从没有ONS的 10.9 天减少到 8.6 天，缩短21.0%；ONS减少了平均住院费用4734美元，从没有ONS的$21,950减少到$17,216</w:t>
      </w:r>
      <w:r w:rsidRPr="00991E77">
        <w:rPr>
          <w:rFonts w:ascii="宋体" w:eastAsia="宋体" w:hAnsi="宋体" w:hint="eastAsia"/>
          <w:sz w:val="21"/>
          <w:szCs w:val="21"/>
        </w:rPr>
        <w:t>，节约</w:t>
      </w:r>
      <w:r w:rsidRPr="00991E77">
        <w:rPr>
          <w:rFonts w:ascii="宋体" w:eastAsia="宋体" w:hAnsi="宋体"/>
          <w:sz w:val="21"/>
          <w:szCs w:val="21"/>
        </w:rPr>
        <w:t>21.6%。国外研究报告，20%肿瘤患者直接死于营养不良。柴培培等报告，2012年我国肿瘤类疾病治疗总费用为820.3亿元，其中因营养不良造成的直接经济负担高达185.9亿元，占肿瘤治疗费用的22.7%。</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30%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2010年Löser C报告，德国全国患者入院时营养不良发生率高达25%以上，而且还在不断上升。柴培培等报告，我国2012年老年住院营养不足患者与营养良好患者的平均住院</w:t>
      </w:r>
      <w:r w:rsidRPr="00991E77">
        <w:rPr>
          <w:rFonts w:ascii="宋体" w:eastAsia="宋体" w:hAnsi="宋体"/>
          <w:sz w:val="21"/>
          <w:szCs w:val="21"/>
        </w:rPr>
        <w:lastRenderedPageBreak/>
        <w:t>费用分别是13581.2元与10530.9元，前者比后者多出 29%。营养不足患者的住院天数比营养良好患者超出30%。国外研究发现，25-30%肿瘤患者直接死于恶液质----一种严重的营养不良。</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40%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2012年全国40岁及以上人群，主要慢病（高血压、糖尿病、慢性阻塞性肺病患病、恶性肿瘤等）发生率超过40%，成年女性营养不良（特指营养过剩，超重+肥胖）发生率为42%。与营养不良高发态势形成鲜明对照的是，2013年中国抗癌协会肿瘤营养与支持治疗专业委员会调查全国13个省、138医院、3036名医务人员，发现肿瘤营养知识及格率只有35%。</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50%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世界卫生组织2013年报告：营养不良是全球儿童死亡的最主要原因，占儿童全部原因死亡的45％。非洲儿童营养不良增加迅速，2000年至2015年期间超重儿童增加50%。国外研究发现，50%以上的社区老人存在营养不良，其中以营养不足、微量营养素异常为主，而且常常表现为神经精神症状，误诊率高。</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60%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中国抗癌协会肿瘤营养与支持治疗专业委员会组织实施的《常见恶性肿瘤营养状况与临床结局相关性研究，INSCOC》，通过3万余例住院肿瘤患者的调查发现，我国住院肿瘤患者中、重度营养不良发生率高达57%。膳食回顾调查发现，三分之一的患者能量摄入不足目标需要量的60%。世界卫生组织2006年报告：全世界全因死亡为6200万，其中3600万死于饥饿或微量营养素缺乏导致的疾病，提示营养不良相关性死亡占全因死亡的58%。</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70%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《中国居民营养与慢性病状况报告（2015）》，2012年我国明确诊断的慢病患者超过 2.6 亿人，慢病占我国整个疾病负担的 69%。中国抗癌协会肿瘤营养与支持治疗专业委员会3万余例肿瘤患者数据显示，我国71%住院肿瘤患者没有得到任何形式的营养治疗。丛明华等报告，70%的肿瘤患者对如何科学膳食存在疑问。</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80%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Milne AC等2009年报告，10,187患者参与的62个随机对照研究荟萃分析发现，ONS显著降低了营养不足患者的死亡风险，相对死亡风险为79%。2010年Löser C综合分析了此前7个荟萃分析，发现ONS显著降低了营养不足患者的并发症发生率（相对风险为29%～79%）及疾病死亡率（相对风险为61%～81%）。2012年我国心脑血管病、癌症和慢性呼吸系统疾病为主要死因，占总死亡的79.4%。肿瘤患者营养不良以消化道肿瘤患者多见，老年胃肠肿瘤患者的营养不良发病率高达82.4%。中国抗癌协会肿瘤营养与</w:t>
      </w:r>
      <w:r w:rsidRPr="00991E77">
        <w:rPr>
          <w:rFonts w:ascii="宋体" w:eastAsia="宋体" w:hAnsi="宋体" w:hint="eastAsia"/>
          <w:sz w:val="21"/>
          <w:szCs w:val="21"/>
        </w:rPr>
        <w:t>支持治疗</w:t>
      </w:r>
      <w:r w:rsidRPr="00991E77">
        <w:rPr>
          <w:rFonts w:ascii="宋体" w:eastAsia="宋体" w:hAnsi="宋体" w:hint="eastAsia"/>
          <w:sz w:val="21"/>
          <w:szCs w:val="21"/>
        </w:rPr>
        <w:lastRenderedPageBreak/>
        <w:t>专业委员会</w:t>
      </w:r>
      <w:r w:rsidRPr="00991E77">
        <w:rPr>
          <w:rFonts w:ascii="宋体" w:eastAsia="宋体" w:hAnsi="宋体"/>
          <w:sz w:val="21"/>
          <w:szCs w:val="21"/>
        </w:rPr>
        <w:t>3万余例肿瘤患者调查发现，我国肿瘤患者营养不良发生率最高的3种肿瘤为食管癌、胰腺癌及胃癌，营养不良发生率均超过80%。</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90%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丛明华等报告：93%的内科住院肿瘤患者未接受过规范的营养教育，对营养认识不足；90%以上的患者服用了灵芝孢子粉、海参、人参、冬虫夏草以及其他类保健食品，把保健品当特医食品（肠内营养剂）。Meijers JM等2012年报告，整个荷兰护理院的正常营养开销为3.19亿欧元/年，营养不良患者额外开销为2.79亿欧元/年，增加了88%。2012年全国居民慢性病死亡率为533/10万，占总死亡人数的86.6%，通俗地说就是我国平均每100个死亡人口，其中有86.6个死于慢病。</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100%</w:t>
      </w:r>
    </w:p>
    <w:p w:rsidR="00991E77" w:rsidRPr="00991E77" w:rsidRDefault="00991E77" w:rsidP="00991E77">
      <w:pPr>
        <w:rPr>
          <w:rFonts w:ascii="宋体" w:eastAsia="宋体" w:hAnsi="宋体"/>
          <w:sz w:val="21"/>
          <w:szCs w:val="21"/>
        </w:rPr>
      </w:pPr>
      <w:r w:rsidRPr="00991E77">
        <w:rPr>
          <w:rFonts w:ascii="微软雅黑" w:eastAsia="微软雅黑" w:hAnsi="微软雅黑" w:cs="微软雅黑" w:hint="eastAsia"/>
          <w:sz w:val="21"/>
          <w:szCs w:val="21"/>
        </w:rPr>
        <w:t>∙</w:t>
      </w:r>
      <w:r w:rsidRPr="00991E77">
        <w:rPr>
          <w:rFonts w:ascii="宋体" w:eastAsia="宋体" w:hAnsi="宋体"/>
          <w:sz w:val="21"/>
          <w:szCs w:val="21"/>
        </w:rPr>
        <w:tab/>
        <w:t>丛明华等随机抽样调查全国18家医院535例内科住院肿瘤患者，发现95.2%的患者认为科学的膳食非常重要，但是99.6%的患者存在营养、膳食知识误区，认为患病后不可食用某类或全部富含蛋白质食物。吴阶平医学基金会营养学部、中国抗癌协会肿瘤营养与支持治疗专业委员会专家共识认为，肿瘤患者入院时，100%应该接受营养诊断（营养筛查、营养评估及综合评价）。肿瘤患者出院后，100%应该定期（每3-6月）接受营养咨询。如果可能，100%进展期肿瘤患者应该终身实施ONS。</w:t>
      </w: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上述模式化的数据，无一例外地说明了营养不良的严重危害性和营养治疗的显著有效性，希望社会各界及医务人员高度重视营养不良，还营养为一线治疗。</w:t>
      </w:r>
    </w:p>
    <w:p w:rsidR="00991E77" w:rsidRPr="00991E77" w:rsidRDefault="00991E77" w:rsidP="00991E77">
      <w:pPr>
        <w:rPr>
          <w:rFonts w:ascii="宋体" w:eastAsia="宋体" w:hAnsi="宋体"/>
          <w:sz w:val="21"/>
          <w:szCs w:val="21"/>
        </w:rPr>
      </w:pP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石汉平教授近年来一直呼吁营养的重要性，希望有更多的人能真正关注营养，尤其在医疗领域，一线的医务工作者对于营养的理解更是直接关系到每一位病患。</w:t>
      </w:r>
    </w:p>
    <w:p w:rsidR="00991E77" w:rsidRPr="00991E77" w:rsidRDefault="00991E77" w:rsidP="00991E77">
      <w:pPr>
        <w:rPr>
          <w:rFonts w:ascii="宋体" w:eastAsia="宋体" w:hAnsi="宋体"/>
          <w:sz w:val="21"/>
          <w:szCs w:val="21"/>
        </w:rPr>
      </w:pPr>
    </w:p>
    <w:p w:rsidR="00991E77" w:rsidRPr="00991E77" w:rsidRDefault="00991E77" w:rsidP="00991E77">
      <w:pPr>
        <w:rPr>
          <w:rFonts w:ascii="宋体" w:eastAsia="宋体" w:hAnsi="宋体"/>
          <w:sz w:val="21"/>
          <w:szCs w:val="21"/>
        </w:rPr>
      </w:pPr>
      <w:r w:rsidRPr="00991E77">
        <w:rPr>
          <w:rFonts w:ascii="宋体" w:eastAsia="宋体" w:hAnsi="宋体" w:hint="eastAsia"/>
          <w:sz w:val="21"/>
          <w:szCs w:val="21"/>
        </w:rPr>
        <w:t>请根据以上内容回答下面问题</w:t>
      </w:r>
      <w:r w:rsidRPr="00991E77">
        <w:rPr>
          <w:rFonts w:ascii="宋体" w:eastAsia="宋体" w:hAnsi="宋体"/>
          <w:sz w:val="21"/>
          <w:szCs w:val="21"/>
        </w:rPr>
        <w:t xml:space="preserve"> </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1、</w:t>
      </w:r>
      <w:r w:rsidRPr="00991E77">
        <w:rPr>
          <w:rFonts w:ascii="宋体" w:eastAsia="宋体" w:hAnsi="宋体"/>
          <w:sz w:val="21"/>
          <w:szCs w:val="21"/>
        </w:rPr>
        <w:tab/>
        <w:t>营养在临床医学中你觉得有哪些地方可以结合？</w:t>
      </w:r>
    </w:p>
    <w:p w:rsidR="00991E77" w:rsidRPr="00991E77" w:rsidRDefault="00991E77" w:rsidP="00991E77">
      <w:pPr>
        <w:rPr>
          <w:rFonts w:ascii="宋体" w:eastAsia="宋体" w:hAnsi="宋体"/>
          <w:sz w:val="21"/>
          <w:szCs w:val="21"/>
        </w:rPr>
      </w:pPr>
      <w:r w:rsidRPr="00991E77">
        <w:rPr>
          <w:rFonts w:ascii="宋体" w:eastAsia="宋体" w:hAnsi="宋体"/>
          <w:sz w:val="21"/>
          <w:szCs w:val="21"/>
        </w:rPr>
        <w:t>2、</w:t>
      </w:r>
      <w:r w:rsidRPr="00991E77">
        <w:rPr>
          <w:rFonts w:ascii="宋体" w:eastAsia="宋体" w:hAnsi="宋体"/>
          <w:sz w:val="21"/>
          <w:szCs w:val="21"/>
        </w:rPr>
        <w:tab/>
        <w:t>请谈一下肿瘤患者与营养之间的关系？</w:t>
      </w:r>
    </w:p>
    <w:sectPr w:rsidR="00991E77" w:rsidRPr="00991E77" w:rsidSect="00B221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90B" w:rsidRDefault="0023590B" w:rsidP="003957AD">
      <w:pPr>
        <w:spacing w:after="0" w:line="240" w:lineRule="auto"/>
      </w:pPr>
      <w:r>
        <w:separator/>
      </w:r>
    </w:p>
  </w:endnote>
  <w:endnote w:type="continuationSeparator" w:id="0">
    <w:p w:rsidR="0023590B" w:rsidRDefault="0023590B" w:rsidP="0039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90B" w:rsidRDefault="0023590B" w:rsidP="003957AD">
      <w:pPr>
        <w:spacing w:after="0" w:line="240" w:lineRule="auto"/>
      </w:pPr>
      <w:r>
        <w:separator/>
      </w:r>
    </w:p>
  </w:footnote>
  <w:footnote w:type="continuationSeparator" w:id="0">
    <w:p w:rsidR="0023590B" w:rsidRDefault="0023590B" w:rsidP="00395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33" w:hanging="224"/>
      </w:pPr>
      <w:rPr>
        <w:rFonts w:ascii="Arial" w:hAnsi="Arial" w:cs="Arial"/>
        <w:b w:val="0"/>
        <w:bCs w:val="0"/>
        <w:sz w:val="18"/>
        <w:szCs w:val="18"/>
      </w:rPr>
    </w:lvl>
    <w:lvl w:ilvl="1">
      <w:numFmt w:val="bullet"/>
      <w:lvlText w:val="o"/>
      <w:lvlJc w:val="left"/>
      <w:pPr>
        <w:ind w:left="927" w:hanging="224"/>
      </w:pPr>
      <w:rPr>
        <w:rFonts w:ascii="Courier New" w:hAnsi="Courier New" w:cs="Courier New"/>
        <w:b w:val="0"/>
        <w:bCs w:val="0"/>
        <w:sz w:val="18"/>
        <w:szCs w:val="18"/>
      </w:rPr>
    </w:lvl>
    <w:lvl w:ilvl="2">
      <w:numFmt w:val="bullet"/>
      <w:lvlText w:val="•"/>
      <w:lvlJc w:val="left"/>
      <w:pPr>
        <w:ind w:left="1385" w:hanging="224"/>
      </w:pPr>
    </w:lvl>
    <w:lvl w:ilvl="3">
      <w:numFmt w:val="bullet"/>
      <w:lvlText w:val="•"/>
      <w:lvlJc w:val="left"/>
      <w:pPr>
        <w:ind w:left="1843" w:hanging="224"/>
      </w:pPr>
    </w:lvl>
    <w:lvl w:ilvl="4">
      <w:numFmt w:val="bullet"/>
      <w:lvlText w:val="•"/>
      <w:lvlJc w:val="left"/>
      <w:pPr>
        <w:ind w:left="2301" w:hanging="224"/>
      </w:pPr>
    </w:lvl>
    <w:lvl w:ilvl="5">
      <w:numFmt w:val="bullet"/>
      <w:lvlText w:val="•"/>
      <w:lvlJc w:val="left"/>
      <w:pPr>
        <w:ind w:left="2758" w:hanging="224"/>
      </w:pPr>
    </w:lvl>
    <w:lvl w:ilvl="6">
      <w:numFmt w:val="bullet"/>
      <w:lvlText w:val="•"/>
      <w:lvlJc w:val="left"/>
      <w:pPr>
        <w:ind w:left="3216" w:hanging="224"/>
      </w:pPr>
    </w:lvl>
    <w:lvl w:ilvl="7">
      <w:numFmt w:val="bullet"/>
      <w:lvlText w:val="•"/>
      <w:lvlJc w:val="left"/>
      <w:pPr>
        <w:ind w:left="3674" w:hanging="224"/>
      </w:pPr>
    </w:lvl>
    <w:lvl w:ilvl="8">
      <w:numFmt w:val="bullet"/>
      <w:lvlText w:val="•"/>
      <w:lvlJc w:val="left"/>
      <w:pPr>
        <w:ind w:left="4132" w:hanging="224"/>
      </w:pPr>
    </w:lvl>
  </w:abstractNum>
  <w:abstractNum w:abstractNumId="1" w15:restartNumberingAfterBreak="0">
    <w:nsid w:val="26153D7F"/>
    <w:multiLevelType w:val="multilevel"/>
    <w:tmpl w:val="CCDCA094"/>
    <w:lvl w:ilvl="0">
      <w:numFmt w:val="bullet"/>
      <w:lvlText w:val="•"/>
      <w:lvlJc w:val="left"/>
      <w:pPr>
        <w:ind w:left="332" w:hanging="224"/>
      </w:pPr>
      <w:rPr>
        <w:rFonts w:ascii="Arial" w:hAnsi="Arial" w:cs="Arial"/>
        <w:b w:val="0"/>
        <w:bCs w:val="0"/>
        <w:sz w:val="18"/>
        <w:szCs w:val="18"/>
      </w:rPr>
    </w:lvl>
    <w:lvl w:ilvl="1">
      <w:start w:val="1"/>
      <w:numFmt w:val="bullet"/>
      <w:lvlText w:val="o"/>
      <w:lvlJc w:val="left"/>
      <w:pPr>
        <w:ind w:left="798" w:hanging="224"/>
      </w:pPr>
      <w:rPr>
        <w:rFonts w:ascii="Courier New" w:hAnsi="Courier New" w:cs="Courier New" w:hint="default"/>
      </w:rPr>
    </w:lvl>
    <w:lvl w:ilvl="2">
      <w:numFmt w:val="bullet"/>
      <w:lvlText w:val="•"/>
      <w:lvlJc w:val="left"/>
      <w:pPr>
        <w:ind w:left="1265" w:hanging="224"/>
      </w:pPr>
    </w:lvl>
    <w:lvl w:ilvl="3">
      <w:numFmt w:val="bullet"/>
      <w:lvlText w:val="•"/>
      <w:lvlJc w:val="left"/>
      <w:pPr>
        <w:ind w:left="1731" w:hanging="224"/>
      </w:pPr>
    </w:lvl>
    <w:lvl w:ilvl="4">
      <w:numFmt w:val="bullet"/>
      <w:lvlText w:val="•"/>
      <w:lvlJc w:val="left"/>
      <w:pPr>
        <w:ind w:left="2198" w:hanging="224"/>
      </w:pPr>
    </w:lvl>
    <w:lvl w:ilvl="5">
      <w:numFmt w:val="bullet"/>
      <w:lvlText w:val="•"/>
      <w:lvlJc w:val="left"/>
      <w:pPr>
        <w:ind w:left="2664" w:hanging="224"/>
      </w:pPr>
    </w:lvl>
    <w:lvl w:ilvl="6">
      <w:numFmt w:val="bullet"/>
      <w:lvlText w:val="•"/>
      <w:lvlJc w:val="left"/>
      <w:pPr>
        <w:ind w:left="3131" w:hanging="224"/>
      </w:pPr>
    </w:lvl>
    <w:lvl w:ilvl="7">
      <w:numFmt w:val="bullet"/>
      <w:lvlText w:val="•"/>
      <w:lvlJc w:val="left"/>
      <w:pPr>
        <w:ind w:left="3597" w:hanging="224"/>
      </w:pPr>
    </w:lvl>
    <w:lvl w:ilvl="8">
      <w:numFmt w:val="bullet"/>
      <w:lvlText w:val="•"/>
      <w:lvlJc w:val="left"/>
      <w:pPr>
        <w:ind w:left="4064" w:hanging="224"/>
      </w:pPr>
    </w:lvl>
  </w:abstractNum>
  <w:abstractNum w:abstractNumId="2" w15:restartNumberingAfterBreak="0">
    <w:nsid w:val="28ED4979"/>
    <w:multiLevelType w:val="hybridMultilevel"/>
    <w:tmpl w:val="F7F62948"/>
    <w:lvl w:ilvl="0" w:tplc="F47A996A">
      <w:start w:val="1"/>
      <w:numFmt w:val="bullet"/>
      <w:lvlText w:val="•"/>
      <w:lvlJc w:val="left"/>
      <w:pPr>
        <w:tabs>
          <w:tab w:val="num" w:pos="720"/>
        </w:tabs>
        <w:ind w:left="720" w:hanging="360"/>
      </w:pPr>
      <w:rPr>
        <w:rFonts w:ascii="Arial" w:hAnsi="Arial" w:hint="default"/>
      </w:rPr>
    </w:lvl>
    <w:lvl w:ilvl="1" w:tplc="1CA09DE0">
      <w:start w:val="174"/>
      <w:numFmt w:val="bullet"/>
      <w:lvlText w:val="o"/>
      <w:lvlJc w:val="left"/>
      <w:pPr>
        <w:tabs>
          <w:tab w:val="num" w:pos="1440"/>
        </w:tabs>
        <w:ind w:left="1440" w:hanging="360"/>
      </w:pPr>
      <w:rPr>
        <w:rFonts w:ascii="Courier New" w:hAnsi="Courier New" w:hint="default"/>
      </w:rPr>
    </w:lvl>
    <w:lvl w:ilvl="2" w:tplc="2FCC2C24" w:tentative="1">
      <w:start w:val="1"/>
      <w:numFmt w:val="bullet"/>
      <w:lvlText w:val="•"/>
      <w:lvlJc w:val="left"/>
      <w:pPr>
        <w:tabs>
          <w:tab w:val="num" w:pos="2160"/>
        </w:tabs>
        <w:ind w:left="2160" w:hanging="360"/>
      </w:pPr>
      <w:rPr>
        <w:rFonts w:ascii="Arial" w:hAnsi="Arial" w:hint="default"/>
      </w:rPr>
    </w:lvl>
    <w:lvl w:ilvl="3" w:tplc="A47A8D68" w:tentative="1">
      <w:start w:val="1"/>
      <w:numFmt w:val="bullet"/>
      <w:lvlText w:val="•"/>
      <w:lvlJc w:val="left"/>
      <w:pPr>
        <w:tabs>
          <w:tab w:val="num" w:pos="2880"/>
        </w:tabs>
        <w:ind w:left="2880" w:hanging="360"/>
      </w:pPr>
      <w:rPr>
        <w:rFonts w:ascii="Arial" w:hAnsi="Arial" w:hint="default"/>
      </w:rPr>
    </w:lvl>
    <w:lvl w:ilvl="4" w:tplc="611CCF12" w:tentative="1">
      <w:start w:val="1"/>
      <w:numFmt w:val="bullet"/>
      <w:lvlText w:val="•"/>
      <w:lvlJc w:val="left"/>
      <w:pPr>
        <w:tabs>
          <w:tab w:val="num" w:pos="3600"/>
        </w:tabs>
        <w:ind w:left="3600" w:hanging="360"/>
      </w:pPr>
      <w:rPr>
        <w:rFonts w:ascii="Arial" w:hAnsi="Arial" w:hint="default"/>
      </w:rPr>
    </w:lvl>
    <w:lvl w:ilvl="5" w:tplc="6C06AD04" w:tentative="1">
      <w:start w:val="1"/>
      <w:numFmt w:val="bullet"/>
      <w:lvlText w:val="•"/>
      <w:lvlJc w:val="left"/>
      <w:pPr>
        <w:tabs>
          <w:tab w:val="num" w:pos="4320"/>
        </w:tabs>
        <w:ind w:left="4320" w:hanging="360"/>
      </w:pPr>
      <w:rPr>
        <w:rFonts w:ascii="Arial" w:hAnsi="Arial" w:hint="default"/>
      </w:rPr>
    </w:lvl>
    <w:lvl w:ilvl="6" w:tplc="171831F4" w:tentative="1">
      <w:start w:val="1"/>
      <w:numFmt w:val="bullet"/>
      <w:lvlText w:val="•"/>
      <w:lvlJc w:val="left"/>
      <w:pPr>
        <w:tabs>
          <w:tab w:val="num" w:pos="5040"/>
        </w:tabs>
        <w:ind w:left="5040" w:hanging="360"/>
      </w:pPr>
      <w:rPr>
        <w:rFonts w:ascii="Arial" w:hAnsi="Arial" w:hint="default"/>
      </w:rPr>
    </w:lvl>
    <w:lvl w:ilvl="7" w:tplc="BFA018AC" w:tentative="1">
      <w:start w:val="1"/>
      <w:numFmt w:val="bullet"/>
      <w:lvlText w:val="•"/>
      <w:lvlJc w:val="left"/>
      <w:pPr>
        <w:tabs>
          <w:tab w:val="num" w:pos="5760"/>
        </w:tabs>
        <w:ind w:left="5760" w:hanging="360"/>
      </w:pPr>
      <w:rPr>
        <w:rFonts w:ascii="Arial" w:hAnsi="Arial" w:hint="default"/>
      </w:rPr>
    </w:lvl>
    <w:lvl w:ilvl="8" w:tplc="E9EA50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F67D6B"/>
    <w:multiLevelType w:val="hybridMultilevel"/>
    <w:tmpl w:val="7220A6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C42101C"/>
    <w:multiLevelType w:val="hybridMultilevel"/>
    <w:tmpl w:val="C82CBF58"/>
    <w:lvl w:ilvl="0" w:tplc="4086A6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2A0AD4"/>
    <w:multiLevelType w:val="hybridMultilevel"/>
    <w:tmpl w:val="BE401A4C"/>
    <w:lvl w:ilvl="0" w:tplc="AEDE191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585D5C"/>
    <w:multiLevelType w:val="hybridMultilevel"/>
    <w:tmpl w:val="61D24A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B2"/>
    <w:rsid w:val="00025A42"/>
    <w:rsid w:val="00066354"/>
    <w:rsid w:val="000C18D2"/>
    <w:rsid w:val="000D7A38"/>
    <w:rsid w:val="00177C18"/>
    <w:rsid w:val="001B74FF"/>
    <w:rsid w:val="001C571B"/>
    <w:rsid w:val="001C5A42"/>
    <w:rsid w:val="00207FCB"/>
    <w:rsid w:val="002257B8"/>
    <w:rsid w:val="0022592D"/>
    <w:rsid w:val="0023590B"/>
    <w:rsid w:val="002474B4"/>
    <w:rsid w:val="00271A5F"/>
    <w:rsid w:val="00271D19"/>
    <w:rsid w:val="00286947"/>
    <w:rsid w:val="002A26BC"/>
    <w:rsid w:val="002A3E9A"/>
    <w:rsid w:val="002A6F9E"/>
    <w:rsid w:val="002E09BD"/>
    <w:rsid w:val="003371C9"/>
    <w:rsid w:val="00343EB1"/>
    <w:rsid w:val="00370EEC"/>
    <w:rsid w:val="003957AD"/>
    <w:rsid w:val="003B1B30"/>
    <w:rsid w:val="00416DB9"/>
    <w:rsid w:val="00437DB4"/>
    <w:rsid w:val="00440636"/>
    <w:rsid w:val="00446F4B"/>
    <w:rsid w:val="004B21E0"/>
    <w:rsid w:val="004B2726"/>
    <w:rsid w:val="004B5EE6"/>
    <w:rsid w:val="004C660B"/>
    <w:rsid w:val="004D6783"/>
    <w:rsid w:val="0058195C"/>
    <w:rsid w:val="00586F2A"/>
    <w:rsid w:val="005D67E2"/>
    <w:rsid w:val="005E45EF"/>
    <w:rsid w:val="005F7E5B"/>
    <w:rsid w:val="006018B2"/>
    <w:rsid w:val="00616AC6"/>
    <w:rsid w:val="006205EA"/>
    <w:rsid w:val="00627E25"/>
    <w:rsid w:val="00712B56"/>
    <w:rsid w:val="0075603C"/>
    <w:rsid w:val="0076477C"/>
    <w:rsid w:val="007B01C6"/>
    <w:rsid w:val="007B422F"/>
    <w:rsid w:val="007C11FB"/>
    <w:rsid w:val="00824DCF"/>
    <w:rsid w:val="00872029"/>
    <w:rsid w:val="0089080C"/>
    <w:rsid w:val="008D3B31"/>
    <w:rsid w:val="008F5AB4"/>
    <w:rsid w:val="00903767"/>
    <w:rsid w:val="0094453C"/>
    <w:rsid w:val="009717BA"/>
    <w:rsid w:val="00984D66"/>
    <w:rsid w:val="00991E77"/>
    <w:rsid w:val="00995C47"/>
    <w:rsid w:val="00996FE5"/>
    <w:rsid w:val="009A33B8"/>
    <w:rsid w:val="009A5719"/>
    <w:rsid w:val="009D2F55"/>
    <w:rsid w:val="009E07D7"/>
    <w:rsid w:val="009E0BF5"/>
    <w:rsid w:val="009E15E1"/>
    <w:rsid w:val="00A03A23"/>
    <w:rsid w:val="00A434D1"/>
    <w:rsid w:val="00A8424C"/>
    <w:rsid w:val="00AB1472"/>
    <w:rsid w:val="00AC073A"/>
    <w:rsid w:val="00AC699A"/>
    <w:rsid w:val="00AD1A2B"/>
    <w:rsid w:val="00AD3007"/>
    <w:rsid w:val="00AD37D2"/>
    <w:rsid w:val="00AE128A"/>
    <w:rsid w:val="00AF0788"/>
    <w:rsid w:val="00B166DA"/>
    <w:rsid w:val="00B22198"/>
    <w:rsid w:val="00BA2F5C"/>
    <w:rsid w:val="00BC5DE7"/>
    <w:rsid w:val="00BC6662"/>
    <w:rsid w:val="00BE319F"/>
    <w:rsid w:val="00BE70BE"/>
    <w:rsid w:val="00C22252"/>
    <w:rsid w:val="00C43F3C"/>
    <w:rsid w:val="00C6784A"/>
    <w:rsid w:val="00C77C31"/>
    <w:rsid w:val="00C80553"/>
    <w:rsid w:val="00CA3380"/>
    <w:rsid w:val="00CE35C0"/>
    <w:rsid w:val="00CF50B3"/>
    <w:rsid w:val="00D73469"/>
    <w:rsid w:val="00D76D12"/>
    <w:rsid w:val="00D93CC4"/>
    <w:rsid w:val="00DB06E1"/>
    <w:rsid w:val="00E1565E"/>
    <w:rsid w:val="00E2216F"/>
    <w:rsid w:val="00E30A69"/>
    <w:rsid w:val="00E451DF"/>
    <w:rsid w:val="00E4554D"/>
    <w:rsid w:val="00E573D1"/>
    <w:rsid w:val="00E61371"/>
    <w:rsid w:val="00E65F4A"/>
    <w:rsid w:val="00E67FD5"/>
    <w:rsid w:val="00E80A27"/>
    <w:rsid w:val="00E82930"/>
    <w:rsid w:val="00EB31F9"/>
    <w:rsid w:val="00EE4369"/>
    <w:rsid w:val="00FB33BB"/>
    <w:rsid w:val="00FE1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FB8998-D98F-4235-B5AE-38587EBE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8B2"/>
    <w:pPr>
      <w:widowControl/>
      <w:spacing w:after="160" w:line="259" w:lineRule="auto"/>
      <w:jc w:val="left"/>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List Paragraph1,Colorful List - Accent 11,Dot pt,No Spacing1,List Paragraph Char Char Char,Indicator Text,Numbered Para 1,Bullet 1,List Paragraph12,Bullet Points,MAIN CONTENT,OBC Bullet,List Paragraph11,Bullets"/>
    <w:basedOn w:val="a"/>
    <w:link w:val="a4"/>
    <w:uiPriority w:val="1"/>
    <w:qFormat/>
    <w:rsid w:val="006018B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列出段落 字符"/>
    <w:aliases w:val="Bullet List 字符,FooterText 字符,List Paragraph1 字符,Colorful List - Accent 11 字符,Dot pt 字符,No Spacing1 字符,List Paragraph Char Char Char 字符,Indicator Text 字符,Numbered Para 1 字符,Bullet 1 字符,List Paragraph12 字符,Bullet Points 字符,MAIN CONTENT 字符"/>
    <w:basedOn w:val="a0"/>
    <w:link w:val="a3"/>
    <w:uiPriority w:val="1"/>
    <w:qFormat/>
    <w:rsid w:val="006018B2"/>
    <w:rPr>
      <w:rFonts w:ascii="Times New Roman" w:hAnsi="Times New Roman" w:cs="Times New Roman"/>
      <w:kern w:val="0"/>
      <w:sz w:val="24"/>
      <w:szCs w:val="24"/>
    </w:rPr>
  </w:style>
  <w:style w:type="paragraph" w:styleId="a5">
    <w:name w:val="header"/>
    <w:basedOn w:val="a"/>
    <w:link w:val="a6"/>
    <w:uiPriority w:val="99"/>
    <w:unhideWhenUsed/>
    <w:rsid w:val="003957A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957AD"/>
    <w:rPr>
      <w:kern w:val="0"/>
      <w:sz w:val="18"/>
      <w:szCs w:val="18"/>
    </w:rPr>
  </w:style>
  <w:style w:type="paragraph" w:styleId="a7">
    <w:name w:val="footer"/>
    <w:basedOn w:val="a"/>
    <w:link w:val="a8"/>
    <w:uiPriority w:val="99"/>
    <w:unhideWhenUsed/>
    <w:rsid w:val="003957AD"/>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3957AD"/>
    <w:rPr>
      <w:kern w:val="0"/>
      <w:sz w:val="18"/>
      <w:szCs w:val="18"/>
    </w:rPr>
  </w:style>
  <w:style w:type="paragraph" w:customStyle="1" w:styleId="s3">
    <w:name w:val="s3"/>
    <w:basedOn w:val="a"/>
    <w:rsid w:val="00872029"/>
    <w:pPr>
      <w:spacing w:before="100" w:beforeAutospacing="1" w:after="100" w:afterAutospacing="1" w:line="240" w:lineRule="auto"/>
    </w:pPr>
    <w:rPr>
      <w:rFonts w:ascii="Calibri" w:hAnsi="Calibri" w:cs="Calibri"/>
    </w:rPr>
  </w:style>
  <w:style w:type="paragraph" w:styleId="a9">
    <w:name w:val="Normal (Web)"/>
    <w:basedOn w:val="a"/>
    <w:uiPriority w:val="99"/>
    <w:unhideWhenUsed/>
    <w:rsid w:val="00446F4B"/>
    <w:pPr>
      <w:spacing w:before="100" w:beforeAutospacing="1" w:after="100" w:afterAutospacing="1" w:line="240" w:lineRule="auto"/>
    </w:pPr>
    <w:rPr>
      <w:rFonts w:ascii="宋体" w:eastAsia="宋体" w:hAnsi="宋体" w:cs="宋体"/>
      <w:sz w:val="24"/>
      <w:szCs w:val="24"/>
    </w:rPr>
  </w:style>
  <w:style w:type="paragraph" w:styleId="aa">
    <w:name w:val="Balloon Text"/>
    <w:basedOn w:val="a"/>
    <w:link w:val="ab"/>
    <w:uiPriority w:val="99"/>
    <w:semiHidden/>
    <w:unhideWhenUsed/>
    <w:rsid w:val="00C6784A"/>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C6784A"/>
    <w:rPr>
      <w:rFonts w:ascii="Segoe UI" w:hAnsi="Segoe UI" w:cs="Segoe UI"/>
      <w:kern w:val="0"/>
      <w:sz w:val="18"/>
      <w:szCs w:val="18"/>
    </w:rPr>
  </w:style>
  <w:style w:type="paragraph" w:styleId="ac">
    <w:name w:val="Body Text"/>
    <w:basedOn w:val="a"/>
    <w:link w:val="ad"/>
    <w:uiPriority w:val="1"/>
    <w:qFormat/>
    <w:rsid w:val="005F7E5B"/>
    <w:pPr>
      <w:widowControl w:val="0"/>
      <w:autoSpaceDE w:val="0"/>
      <w:autoSpaceDN w:val="0"/>
      <w:adjustRightInd w:val="0"/>
      <w:spacing w:after="0" w:line="240" w:lineRule="auto"/>
      <w:ind w:left="333" w:hanging="223"/>
    </w:pPr>
    <w:rPr>
      <w:rFonts w:ascii="Calibri" w:hAnsi="Calibri" w:cs="Calibri"/>
      <w:sz w:val="18"/>
      <w:szCs w:val="18"/>
    </w:rPr>
  </w:style>
  <w:style w:type="character" w:customStyle="1" w:styleId="ad">
    <w:name w:val="正文文本 字符"/>
    <w:basedOn w:val="a0"/>
    <w:link w:val="ac"/>
    <w:uiPriority w:val="1"/>
    <w:rsid w:val="005F7E5B"/>
    <w:rPr>
      <w:rFonts w:ascii="Calibri" w:hAnsi="Calibri"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Nicole</dc:creator>
  <cp:keywords/>
  <dc:description/>
  <cp:lastModifiedBy>顾锋</cp:lastModifiedBy>
  <cp:revision>25</cp:revision>
  <cp:lastPrinted>2019-09-27T02:49:00Z</cp:lastPrinted>
  <dcterms:created xsi:type="dcterms:W3CDTF">2019-09-24T06:54:00Z</dcterms:created>
  <dcterms:modified xsi:type="dcterms:W3CDTF">2019-10-10T06:27:00Z</dcterms:modified>
</cp:coreProperties>
</file>